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397</w:t>
      </w:r>
      <w:r>
        <w:rPr>
          <w:rFonts w:ascii="Times New Roman" w:eastAsia="Times New Roman" w:hAnsi="Times New Roman" w:cs="Times New Roman"/>
          <w:sz w:val="26"/>
          <w:szCs w:val="26"/>
        </w:rPr>
        <w:t>-2610/20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Алакаева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Рустема </w:t>
      </w:r>
      <w:r>
        <w:rPr>
          <w:rFonts w:ascii="Times New Roman" w:eastAsia="Times New Roman" w:hAnsi="Times New Roman" w:cs="Times New Roman"/>
          <w:sz w:val="27"/>
          <w:szCs w:val="27"/>
        </w:rPr>
        <w:t>Рафаильевича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6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сведениям информационных ресурсов Инспекции, а также журнала регистрации входящей почтовой корреспонденции по состоянию на 26.0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налогоплательщика </w:t>
      </w:r>
      <w:r>
        <w:rPr>
          <w:rStyle w:val="cat-OrganizationNamegrp-26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 года не поступал. Установленный законодательством о налогах и сборах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асчет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 года - не позднее 25.0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 года представлен несвоевременно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результате чего нарушены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п.1 ст. 23, п.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НК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Алакаев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ый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остановления Пленума ВС РФ от 24.03.2005 г. № 5), в судебное заседание не явил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ходатайств об отложении рассмотрения дела не заявлял.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по имеющимся в материалах дела доказательствам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Алакаева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подтверждается: 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25598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18.02</w:t>
      </w:r>
      <w:r>
        <w:rPr>
          <w:rFonts w:ascii="Times New Roman" w:eastAsia="Times New Roman" w:hAnsi="Times New Roman" w:cs="Times New Roman"/>
          <w:sz w:val="27"/>
          <w:szCs w:val="27"/>
        </w:rPr>
        <w:t>.2026 года; копией выписки из Единого государственного реестра юридических лиц; справкой о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информационным письмом от </w:t>
      </w:r>
      <w:r>
        <w:rPr>
          <w:rFonts w:ascii="Times New Roman" w:eastAsia="Times New Roman" w:hAnsi="Times New Roman" w:cs="Times New Roman"/>
          <w:sz w:val="27"/>
          <w:szCs w:val="27"/>
        </w:rPr>
        <w:t>26.12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26.12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уведомлением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отчетом об отслеживании почтового отправления.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Алакаева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ответственность, мировой судья не усматривает.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признаёт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привлекавшегося </w:t>
      </w:r>
      <w:r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аналогичное правонарушение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от </w:t>
      </w:r>
      <w:r>
        <w:rPr>
          <w:rStyle w:val="cat-UserDefinedgrp-38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делу № </w:t>
      </w:r>
      <w:r>
        <w:rPr>
          <w:rStyle w:val="cat-UserDefinedgrp-37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приходит к выводу о возможности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Алакаеву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</w:t>
      </w:r>
      <w:r>
        <w:rPr>
          <w:rFonts w:ascii="Times New Roman" w:eastAsia="Times New Roman" w:hAnsi="Times New Roman" w:cs="Times New Roman"/>
          <w:sz w:val="27"/>
          <w:szCs w:val="27"/>
        </w:rPr>
        <w:t>. наказание в виде административного штрафа в предусмотренном санкцией размере.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- председателя правления </w:t>
      </w:r>
      <w:r>
        <w:rPr>
          <w:rStyle w:val="cat-OrganizationNamegrp-25rplc-3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Алакаева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Рустема </w:t>
      </w:r>
      <w:r>
        <w:rPr>
          <w:rFonts w:ascii="Times New Roman" w:eastAsia="Times New Roman" w:hAnsi="Times New Roman" w:cs="Times New Roman"/>
          <w:sz w:val="27"/>
          <w:szCs w:val="27"/>
        </w:rPr>
        <w:t>Рафаильевича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штрафа в размере </w:t>
      </w:r>
      <w:r>
        <w:rPr>
          <w:rStyle w:val="cat-Sumgrp-22rplc-3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по следующим реквизитам: получатель: УФК по Ханты-Мансийскому автономному округу-Югре </w:t>
      </w: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округа-Югры л/с 04872D08080), Банк: ОКЦ № 8 </w:t>
      </w:r>
      <w:r>
        <w:rPr>
          <w:rStyle w:val="cat-OrganizationNamegrp-27rplc-4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860101001; КБК 72011601203019000140; УИН </w:t>
      </w:r>
      <w:r>
        <w:rPr>
          <w:rFonts w:ascii="Times New Roman" w:eastAsia="Times New Roman" w:hAnsi="Times New Roman" w:cs="Times New Roman"/>
        </w:rPr>
        <w:t>0412365400655003972615146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105.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5105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6">
    <w:name w:val="cat-UserDefined grp-36 rplc-6"/>
    <w:basedOn w:val="DefaultParagraphFont"/>
  </w:style>
  <w:style w:type="character" w:customStyle="1" w:styleId="cat-OrganizationNamegrp-26rplc-17">
    <w:name w:val="cat-OrganizationName grp-26 rplc-17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OrganizationNamegrp-25rplc-37">
    <w:name w:val="cat-OrganizationName grp-25 rplc-37"/>
    <w:basedOn w:val="DefaultParagraphFont"/>
  </w:style>
  <w:style w:type="character" w:customStyle="1" w:styleId="cat-Sumgrp-22rplc-39">
    <w:name w:val="cat-Sum grp-22 rplc-39"/>
    <w:basedOn w:val="DefaultParagraphFont"/>
  </w:style>
  <w:style w:type="character" w:customStyle="1" w:styleId="cat-OrganizationNamegrp-27rplc-40">
    <w:name w:val="cat-OrganizationName grp-27 rplc-4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AAE2-D3A0-4B0A-B3D6-1E97AD5B1FD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